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11A2" w14:textId="77777777" w:rsidR="00352AE5" w:rsidRPr="00E14824" w:rsidRDefault="00352AE5" w:rsidP="00352AE5">
      <w:pPr>
        <w:widowControl w:val="0"/>
        <w:autoSpaceDE w:val="0"/>
        <w:autoSpaceDN w:val="0"/>
        <w:adjustRightInd w:val="0"/>
        <w:spacing w:before="178" w:after="0" w:line="240" w:lineRule="auto"/>
        <w:ind w:right="18"/>
        <w:jc w:val="center"/>
        <w:rPr>
          <w:rFonts w:ascii="TimesNewRomanPSMT" w:eastAsiaTheme="minorEastAsia" w:hAnsi="TimesNewRomanPSMT" w:cs="TimesNewRomanPSMT"/>
          <w:color w:val="FF0000"/>
          <w:spacing w:val="-90"/>
          <w:kern w:val="1"/>
          <w:sz w:val="36"/>
          <w:szCs w:val="36"/>
          <w:u w:color="FF0000"/>
          <w:lang w:eastAsia="en-GB"/>
        </w:rPr>
      </w:pPr>
      <w:bookmarkStart w:id="0" w:name="_GoBack"/>
      <w:bookmarkEnd w:id="0"/>
      <w:r w:rsidRPr="00E14824">
        <w:rPr>
          <w:rFonts w:ascii="Cambria" w:eastAsiaTheme="minorEastAsia" w:hAnsi="Cambria" w:cs="Cambria"/>
          <w:b/>
          <w:bCs/>
          <w:color w:val="FF0000"/>
          <w:sz w:val="36"/>
          <w:szCs w:val="36"/>
          <w:u w:val="thick" w:color="FF0000"/>
          <w:lang w:eastAsia="en-GB"/>
        </w:rPr>
        <w:t xml:space="preserve">PUBLIC </w:t>
      </w:r>
      <w:r w:rsidRPr="00E14824">
        <w:rPr>
          <w:rFonts w:ascii="Cambria" w:eastAsiaTheme="minorEastAsia" w:hAnsi="Cambria" w:cs="Cambria"/>
          <w:b/>
          <w:bCs/>
          <w:color w:val="FF0000"/>
          <w:spacing w:val="-3"/>
          <w:kern w:val="1"/>
          <w:sz w:val="36"/>
          <w:szCs w:val="36"/>
          <w:u w:val="thick" w:color="FF0000"/>
          <w:lang w:eastAsia="en-GB"/>
        </w:rPr>
        <w:t>NOTICE</w:t>
      </w:r>
    </w:p>
    <w:p w14:paraId="45FE3783" w14:textId="77777777" w:rsidR="00352AE5" w:rsidRPr="00E14824" w:rsidRDefault="00352AE5" w:rsidP="00352AE5">
      <w:pPr>
        <w:widowControl w:val="0"/>
        <w:autoSpaceDE w:val="0"/>
        <w:autoSpaceDN w:val="0"/>
        <w:adjustRightInd w:val="0"/>
        <w:spacing w:before="355" w:after="0" w:line="240" w:lineRule="auto"/>
        <w:ind w:left="316" w:right="337"/>
        <w:jc w:val="center"/>
        <w:rPr>
          <w:rFonts w:ascii="Tahoma" w:eastAsiaTheme="minorEastAsia" w:hAnsi="Tahoma" w:cs="Tahoma"/>
          <w:b/>
          <w:bCs/>
          <w:kern w:val="1"/>
          <w:sz w:val="26"/>
          <w:szCs w:val="26"/>
          <w:u w:color="FF0000"/>
          <w:lang w:eastAsia="en-GB"/>
        </w:rPr>
      </w:pPr>
      <w:r w:rsidRPr="00E14824">
        <w:rPr>
          <w:rFonts w:ascii="Tahoma" w:eastAsiaTheme="minorEastAsia" w:hAnsi="Tahoma" w:cs="Tahoma"/>
          <w:b/>
          <w:bCs/>
          <w:kern w:val="1"/>
          <w:sz w:val="32"/>
          <w:szCs w:val="32"/>
          <w:u w:color="FF0000"/>
          <w:lang w:eastAsia="en-GB"/>
        </w:rPr>
        <w:t>N</w:t>
      </w:r>
      <w:r w:rsidRPr="00E14824">
        <w:rPr>
          <w:rFonts w:ascii="Tahoma" w:eastAsiaTheme="minorEastAsia" w:hAnsi="Tahoma" w:cs="Tahoma"/>
          <w:b/>
          <w:bCs/>
          <w:kern w:val="1"/>
          <w:sz w:val="26"/>
          <w:szCs w:val="26"/>
          <w:u w:color="FF0000"/>
          <w:lang w:eastAsia="en-GB"/>
        </w:rPr>
        <w:t xml:space="preserve">OTIFICATION OF THE </w:t>
      </w:r>
      <w:r w:rsidRPr="00E14824">
        <w:rPr>
          <w:rFonts w:ascii="Tahoma" w:eastAsiaTheme="minorEastAsia" w:hAnsi="Tahoma" w:cs="Tahoma"/>
          <w:b/>
          <w:bCs/>
          <w:kern w:val="1"/>
          <w:sz w:val="32"/>
          <w:szCs w:val="32"/>
          <w:u w:color="FF0000"/>
          <w:lang w:eastAsia="en-GB"/>
        </w:rPr>
        <w:t>M</w:t>
      </w:r>
      <w:r w:rsidRPr="00E14824">
        <w:rPr>
          <w:rFonts w:ascii="Tahoma" w:eastAsiaTheme="minorEastAsia" w:hAnsi="Tahoma" w:cs="Tahoma"/>
          <w:b/>
          <w:bCs/>
          <w:kern w:val="1"/>
          <w:sz w:val="26"/>
          <w:szCs w:val="26"/>
          <w:u w:color="FF0000"/>
          <w:lang w:eastAsia="en-GB"/>
        </w:rPr>
        <w:t xml:space="preserve">ODIFICATION OF </w:t>
      </w:r>
      <w:r w:rsidRPr="00E14824">
        <w:rPr>
          <w:rFonts w:ascii="Tahoma" w:eastAsiaTheme="minorEastAsia" w:hAnsi="Tahoma" w:cs="Tahoma"/>
          <w:b/>
          <w:bCs/>
          <w:kern w:val="1"/>
          <w:sz w:val="32"/>
          <w:szCs w:val="32"/>
          <w:u w:color="FF0000"/>
          <w:lang w:eastAsia="en-GB"/>
        </w:rPr>
        <w:t>A</w:t>
      </w:r>
      <w:r w:rsidRPr="00E14824">
        <w:rPr>
          <w:rFonts w:ascii="Tahoma" w:eastAsiaTheme="minorEastAsia" w:hAnsi="Tahoma" w:cs="Tahoma"/>
          <w:b/>
          <w:bCs/>
          <w:kern w:val="1"/>
          <w:sz w:val="26"/>
          <w:szCs w:val="26"/>
          <w:u w:color="FF0000"/>
          <w:lang w:eastAsia="en-GB"/>
        </w:rPr>
        <w:t xml:space="preserve">LL </w:t>
      </w:r>
      <w:r w:rsidRPr="00E14824">
        <w:rPr>
          <w:rFonts w:ascii="Tahoma" w:eastAsiaTheme="minorEastAsia" w:hAnsi="Tahoma" w:cs="Tahoma"/>
          <w:b/>
          <w:bCs/>
          <w:kern w:val="1"/>
          <w:sz w:val="32"/>
          <w:szCs w:val="32"/>
          <w:u w:color="FF0000"/>
          <w:lang w:eastAsia="en-GB"/>
        </w:rPr>
        <w:t>I</w:t>
      </w:r>
      <w:r w:rsidRPr="00E14824">
        <w:rPr>
          <w:rFonts w:ascii="Tahoma" w:eastAsiaTheme="minorEastAsia" w:hAnsi="Tahoma" w:cs="Tahoma"/>
          <w:b/>
          <w:bCs/>
          <w:kern w:val="1"/>
          <w:sz w:val="26"/>
          <w:szCs w:val="26"/>
          <w:u w:color="FF0000"/>
          <w:lang w:eastAsia="en-GB"/>
        </w:rPr>
        <w:t xml:space="preserve">NDIVIDUAL </w:t>
      </w:r>
      <w:r w:rsidRPr="00E14824">
        <w:rPr>
          <w:rFonts w:ascii="Tahoma" w:eastAsiaTheme="minorEastAsia" w:hAnsi="Tahoma" w:cs="Tahoma"/>
          <w:b/>
          <w:bCs/>
          <w:kern w:val="1"/>
          <w:sz w:val="32"/>
          <w:szCs w:val="32"/>
          <w:u w:color="FF0000"/>
          <w:lang w:eastAsia="en-GB"/>
        </w:rPr>
        <w:t>L</w:t>
      </w:r>
      <w:r w:rsidRPr="00E14824">
        <w:rPr>
          <w:rFonts w:ascii="Tahoma" w:eastAsiaTheme="minorEastAsia" w:hAnsi="Tahoma" w:cs="Tahoma"/>
          <w:b/>
          <w:bCs/>
          <w:kern w:val="1"/>
          <w:sz w:val="26"/>
          <w:szCs w:val="26"/>
          <w:u w:color="FF0000"/>
          <w:lang w:eastAsia="en-GB"/>
        </w:rPr>
        <w:t xml:space="preserve">ICENCES AND </w:t>
      </w:r>
      <w:r w:rsidRPr="00E14824">
        <w:rPr>
          <w:rFonts w:ascii="Tahoma" w:eastAsiaTheme="minorEastAsia" w:hAnsi="Tahoma" w:cs="Tahoma"/>
          <w:b/>
          <w:bCs/>
          <w:kern w:val="1"/>
          <w:sz w:val="32"/>
          <w:szCs w:val="32"/>
          <w:u w:color="FF0000"/>
          <w:lang w:eastAsia="en-GB"/>
        </w:rPr>
        <w:t>F</w:t>
      </w:r>
      <w:r w:rsidRPr="00E14824">
        <w:rPr>
          <w:rFonts w:ascii="Tahoma" w:eastAsiaTheme="minorEastAsia" w:hAnsi="Tahoma" w:cs="Tahoma"/>
          <w:b/>
          <w:bCs/>
          <w:kern w:val="1"/>
          <w:sz w:val="26"/>
          <w:szCs w:val="26"/>
          <w:u w:color="FF0000"/>
          <w:lang w:eastAsia="en-GB"/>
        </w:rPr>
        <w:t xml:space="preserve">REQUENCY </w:t>
      </w:r>
      <w:r w:rsidRPr="00E14824">
        <w:rPr>
          <w:rFonts w:ascii="Tahoma" w:eastAsiaTheme="minorEastAsia" w:hAnsi="Tahoma" w:cs="Tahoma"/>
          <w:b/>
          <w:bCs/>
          <w:kern w:val="1"/>
          <w:sz w:val="32"/>
          <w:szCs w:val="32"/>
          <w:u w:color="FF0000"/>
          <w:lang w:eastAsia="en-GB"/>
        </w:rPr>
        <w:t>A</w:t>
      </w:r>
      <w:r w:rsidRPr="00E14824">
        <w:rPr>
          <w:rFonts w:ascii="Tahoma" w:eastAsiaTheme="minorEastAsia" w:hAnsi="Tahoma" w:cs="Tahoma"/>
          <w:b/>
          <w:bCs/>
          <w:kern w:val="1"/>
          <w:sz w:val="26"/>
          <w:szCs w:val="26"/>
          <w:u w:color="FF0000"/>
          <w:lang w:eastAsia="en-GB"/>
        </w:rPr>
        <w:t>UTHORISATIONS</w:t>
      </w:r>
    </w:p>
    <w:p w14:paraId="44A47741" w14:textId="77777777" w:rsidR="00352AE5" w:rsidRDefault="00352AE5" w:rsidP="00352AE5"/>
    <w:p w14:paraId="747FCA35" w14:textId="77777777" w:rsidR="00352AE5" w:rsidRPr="00AD0D0A" w:rsidRDefault="00352AE5" w:rsidP="00352AE5">
      <w:pPr>
        <w:spacing w:after="0" w:line="360" w:lineRule="auto"/>
        <w:rPr>
          <w:rFonts w:ascii="Tahoma" w:hAnsi="Tahoma" w:cs="Tahoma"/>
          <w:sz w:val="24"/>
          <w:szCs w:val="24"/>
          <w:lang w:val="en-US"/>
        </w:rPr>
      </w:pPr>
    </w:p>
    <w:p w14:paraId="657D4C09" w14:textId="05E54BAE" w:rsidR="00352AE5" w:rsidRPr="00AD0D0A" w:rsidRDefault="00352AE5" w:rsidP="00352AE5">
      <w:pPr>
        <w:spacing w:after="0" w:line="360" w:lineRule="auto"/>
        <w:jc w:val="both"/>
        <w:rPr>
          <w:rFonts w:ascii="Tahoma" w:hAnsi="Tahoma" w:cs="Tahoma"/>
          <w:sz w:val="24"/>
          <w:szCs w:val="24"/>
          <w:lang w:val="en-US"/>
        </w:rPr>
      </w:pPr>
      <w:r w:rsidRPr="00AD0D0A">
        <w:rPr>
          <w:rFonts w:ascii="Tahoma" w:hAnsi="Tahoma" w:cs="Tahoma"/>
          <w:sz w:val="24"/>
          <w:szCs w:val="24"/>
          <w:lang w:val="en-US"/>
        </w:rPr>
        <w:t>Reference is made to</w:t>
      </w:r>
      <w:r>
        <w:rPr>
          <w:rFonts w:ascii="Tahoma" w:hAnsi="Tahoma" w:cs="Tahoma"/>
          <w:sz w:val="24"/>
          <w:szCs w:val="24"/>
          <w:lang w:val="en-US"/>
        </w:rPr>
        <w:t xml:space="preserve"> the published notification</w:t>
      </w:r>
      <w:r w:rsidRPr="00AD0D0A">
        <w:rPr>
          <w:rFonts w:ascii="Tahoma" w:hAnsi="Tahoma" w:cs="Tahoma"/>
          <w:sz w:val="24"/>
          <w:szCs w:val="24"/>
          <w:lang w:val="en-US"/>
        </w:rPr>
        <w:t xml:space="preserve"> dated </w:t>
      </w:r>
      <w:r>
        <w:rPr>
          <w:rFonts w:ascii="Tahoma" w:hAnsi="Tahoma" w:cs="Tahoma"/>
          <w:sz w:val="24"/>
          <w:szCs w:val="24"/>
          <w:lang w:val="en-US"/>
        </w:rPr>
        <w:t>14</w:t>
      </w:r>
      <w:r>
        <w:rPr>
          <w:rFonts w:ascii="Tahoma" w:hAnsi="Tahoma" w:cs="Tahoma"/>
          <w:sz w:val="24"/>
          <w:szCs w:val="24"/>
          <w:vertAlign w:val="superscript"/>
          <w:lang w:val="en-US"/>
        </w:rPr>
        <w:t xml:space="preserve">th </w:t>
      </w:r>
      <w:proofErr w:type="gramStart"/>
      <w:r>
        <w:rPr>
          <w:rFonts w:ascii="Tahoma" w:hAnsi="Tahoma" w:cs="Tahoma"/>
          <w:sz w:val="24"/>
          <w:szCs w:val="24"/>
          <w:lang w:val="en-US"/>
        </w:rPr>
        <w:t>June,</w:t>
      </w:r>
      <w:proofErr w:type="gramEnd"/>
      <w:r>
        <w:rPr>
          <w:rFonts w:ascii="Tahoma" w:hAnsi="Tahoma" w:cs="Tahoma"/>
          <w:sz w:val="24"/>
          <w:szCs w:val="24"/>
          <w:lang w:val="en-US"/>
        </w:rPr>
        <w:t xml:space="preserve"> 2019</w:t>
      </w:r>
      <w:r w:rsidRPr="00AD0D0A">
        <w:rPr>
          <w:rFonts w:ascii="Tahoma" w:hAnsi="Tahoma" w:cs="Tahoma"/>
          <w:sz w:val="24"/>
          <w:szCs w:val="24"/>
          <w:lang w:val="en-US"/>
        </w:rPr>
        <w:t xml:space="preserve">, </w:t>
      </w:r>
      <w:r>
        <w:rPr>
          <w:rFonts w:ascii="Tahoma" w:hAnsi="Tahoma" w:cs="Tahoma"/>
          <w:sz w:val="24"/>
          <w:szCs w:val="24"/>
          <w:lang w:val="en-US"/>
        </w:rPr>
        <w:t>on the above subject captioned</w:t>
      </w:r>
      <w:r w:rsidRPr="00AD0D0A">
        <w:rPr>
          <w:rFonts w:ascii="Tahoma" w:hAnsi="Tahoma" w:cs="Tahoma"/>
          <w:sz w:val="24"/>
          <w:szCs w:val="24"/>
          <w:lang w:val="en-US"/>
        </w:rPr>
        <w:t xml:space="preserve">. </w:t>
      </w:r>
      <w:r>
        <w:rPr>
          <w:rFonts w:ascii="Tahoma" w:hAnsi="Tahoma" w:cs="Tahoma"/>
          <w:sz w:val="24"/>
          <w:szCs w:val="24"/>
          <w:lang w:val="en-US"/>
        </w:rPr>
        <w:t>All comments received were submitted to</w:t>
      </w:r>
      <w:r w:rsidRPr="00AD0D0A">
        <w:rPr>
          <w:rFonts w:ascii="Tahoma" w:hAnsi="Tahoma" w:cs="Tahoma"/>
          <w:sz w:val="24"/>
          <w:szCs w:val="24"/>
          <w:lang w:val="en-US"/>
        </w:rPr>
        <w:t xml:space="preserve"> </w:t>
      </w:r>
      <w:r>
        <w:rPr>
          <w:rFonts w:ascii="Tahoma" w:hAnsi="Tahoma" w:cs="Tahoma"/>
          <w:sz w:val="24"/>
          <w:szCs w:val="24"/>
          <w:lang w:val="en-US"/>
        </w:rPr>
        <w:t>the Eastern Caribbean Telecommunications Authority (</w:t>
      </w:r>
      <w:r w:rsidRPr="00AD0D0A">
        <w:rPr>
          <w:rFonts w:ascii="Tahoma" w:hAnsi="Tahoma" w:cs="Tahoma"/>
          <w:sz w:val="24"/>
          <w:szCs w:val="24"/>
          <w:lang w:val="en-US"/>
        </w:rPr>
        <w:t>ECTEL</w:t>
      </w:r>
      <w:r>
        <w:rPr>
          <w:rFonts w:ascii="Tahoma" w:hAnsi="Tahoma" w:cs="Tahoma"/>
          <w:sz w:val="24"/>
          <w:szCs w:val="24"/>
          <w:lang w:val="en-US"/>
        </w:rPr>
        <w:t>)</w:t>
      </w:r>
      <w:r w:rsidRPr="00AD0D0A">
        <w:rPr>
          <w:rFonts w:ascii="Tahoma" w:hAnsi="Tahoma" w:cs="Tahoma"/>
          <w:sz w:val="24"/>
          <w:szCs w:val="24"/>
          <w:lang w:val="en-US"/>
        </w:rPr>
        <w:t xml:space="preserve"> for consideration. </w:t>
      </w:r>
    </w:p>
    <w:p w14:paraId="12DAEDFB" w14:textId="77777777" w:rsidR="00352AE5" w:rsidRPr="00AD0D0A" w:rsidRDefault="00352AE5" w:rsidP="00352AE5">
      <w:pPr>
        <w:spacing w:after="0" w:line="360" w:lineRule="auto"/>
        <w:rPr>
          <w:rFonts w:ascii="Tahoma" w:hAnsi="Tahoma" w:cs="Tahoma"/>
          <w:sz w:val="24"/>
          <w:szCs w:val="24"/>
          <w:lang w:val="en-US"/>
        </w:rPr>
      </w:pPr>
    </w:p>
    <w:p w14:paraId="73E8818F" w14:textId="77777777" w:rsidR="00352AE5" w:rsidRPr="00AD0D0A" w:rsidRDefault="00352AE5" w:rsidP="00352AE5">
      <w:pPr>
        <w:spacing w:after="0" w:line="360" w:lineRule="auto"/>
        <w:jc w:val="both"/>
        <w:rPr>
          <w:rFonts w:ascii="Tahoma" w:hAnsi="Tahoma" w:cs="Tahoma"/>
          <w:sz w:val="24"/>
          <w:szCs w:val="24"/>
          <w:lang w:val="en-US"/>
        </w:rPr>
      </w:pPr>
      <w:r w:rsidRPr="00AD0D0A">
        <w:rPr>
          <w:rFonts w:ascii="Tahoma" w:hAnsi="Tahoma" w:cs="Tahoma"/>
          <w:sz w:val="24"/>
          <w:szCs w:val="24"/>
          <w:lang w:val="en-US"/>
        </w:rPr>
        <w:t xml:space="preserve">The </w:t>
      </w:r>
      <w:r>
        <w:rPr>
          <w:rFonts w:ascii="Tahoma" w:hAnsi="Tahoma" w:cs="Tahoma"/>
          <w:sz w:val="24"/>
          <w:szCs w:val="24"/>
          <w:lang w:val="en-US"/>
        </w:rPr>
        <w:t xml:space="preserve">ECTEL </w:t>
      </w:r>
      <w:r w:rsidRPr="00AD0D0A">
        <w:rPr>
          <w:rFonts w:ascii="Tahoma" w:hAnsi="Tahoma" w:cs="Tahoma"/>
          <w:sz w:val="24"/>
          <w:szCs w:val="24"/>
          <w:lang w:val="en-US"/>
        </w:rPr>
        <w:t>Directorate having considered the submission of all stakeholders and in consideration of ECTEL’s</w:t>
      </w:r>
      <w:r>
        <w:rPr>
          <w:rFonts w:ascii="Tahoma" w:hAnsi="Tahoma" w:cs="Tahoma"/>
          <w:sz w:val="24"/>
          <w:szCs w:val="24"/>
          <w:lang w:val="en-US"/>
        </w:rPr>
        <w:t xml:space="preserve"> current statutory</w:t>
      </w:r>
      <w:r w:rsidRPr="00AD0D0A">
        <w:rPr>
          <w:rFonts w:ascii="Tahoma" w:hAnsi="Tahoma" w:cs="Tahoma"/>
          <w:sz w:val="24"/>
          <w:szCs w:val="24"/>
          <w:lang w:val="en-US"/>
        </w:rPr>
        <w:t xml:space="preserve"> proc</w:t>
      </w:r>
      <w:r>
        <w:rPr>
          <w:rFonts w:ascii="Tahoma" w:hAnsi="Tahoma" w:cs="Tahoma"/>
          <w:sz w:val="24"/>
          <w:szCs w:val="24"/>
          <w:lang w:val="en-US"/>
        </w:rPr>
        <w:t>edures</w:t>
      </w:r>
      <w:r w:rsidRPr="00AD0D0A">
        <w:rPr>
          <w:rFonts w:ascii="Tahoma" w:hAnsi="Tahoma" w:cs="Tahoma"/>
          <w:sz w:val="24"/>
          <w:szCs w:val="24"/>
          <w:lang w:val="en-US"/>
        </w:rPr>
        <w:t xml:space="preserve">, the </w:t>
      </w:r>
      <w:r>
        <w:rPr>
          <w:rFonts w:ascii="Tahoma" w:hAnsi="Tahoma" w:cs="Tahoma"/>
          <w:sz w:val="24"/>
          <w:szCs w:val="24"/>
          <w:lang w:val="en-US"/>
        </w:rPr>
        <w:t xml:space="preserve">ECTEL </w:t>
      </w:r>
      <w:r w:rsidRPr="00AD0D0A">
        <w:rPr>
          <w:rFonts w:ascii="Tahoma" w:hAnsi="Tahoma" w:cs="Tahoma"/>
          <w:sz w:val="24"/>
          <w:szCs w:val="24"/>
          <w:lang w:val="en-US"/>
        </w:rPr>
        <w:t xml:space="preserve">Directorate </w:t>
      </w:r>
      <w:r>
        <w:rPr>
          <w:rFonts w:ascii="Tahoma" w:hAnsi="Tahoma" w:cs="Tahoma"/>
          <w:sz w:val="24"/>
          <w:szCs w:val="24"/>
          <w:lang w:val="en-US"/>
        </w:rPr>
        <w:t>has advised</w:t>
      </w:r>
      <w:r w:rsidRPr="00AD0D0A">
        <w:rPr>
          <w:rFonts w:ascii="Tahoma" w:hAnsi="Tahoma" w:cs="Tahoma"/>
          <w:sz w:val="24"/>
          <w:szCs w:val="24"/>
          <w:lang w:val="en-US"/>
        </w:rPr>
        <w:t xml:space="preserve"> the following:</w:t>
      </w:r>
    </w:p>
    <w:p w14:paraId="39BF40D0" w14:textId="77777777" w:rsidR="00352AE5" w:rsidRPr="00AD0D0A" w:rsidRDefault="00352AE5" w:rsidP="00352AE5">
      <w:pPr>
        <w:numPr>
          <w:ilvl w:val="0"/>
          <w:numId w:val="3"/>
        </w:numPr>
        <w:spacing w:after="0" w:line="360" w:lineRule="auto"/>
        <w:contextualSpacing/>
        <w:jc w:val="both"/>
        <w:rPr>
          <w:rFonts w:ascii="Tahoma" w:hAnsi="Tahoma" w:cs="Tahoma"/>
          <w:b/>
          <w:bCs/>
          <w:sz w:val="24"/>
          <w:szCs w:val="24"/>
          <w:lang w:val="en-US"/>
        </w:rPr>
      </w:pPr>
      <w:r w:rsidRPr="00AD0D0A">
        <w:rPr>
          <w:rFonts w:ascii="Tahoma" w:hAnsi="Tahoma" w:cs="Tahoma"/>
          <w:b/>
          <w:bCs/>
          <w:sz w:val="24"/>
          <w:szCs w:val="24"/>
          <w:lang w:val="en-US"/>
        </w:rPr>
        <w:t>General Renewal</w:t>
      </w:r>
    </w:p>
    <w:p w14:paraId="79263AC2" w14:textId="77777777" w:rsidR="00352AE5" w:rsidRPr="00AD0D0A" w:rsidRDefault="00352AE5" w:rsidP="00352AE5">
      <w:pPr>
        <w:numPr>
          <w:ilvl w:val="0"/>
          <w:numId w:val="2"/>
        </w:numPr>
        <w:spacing w:after="0" w:line="360" w:lineRule="auto"/>
        <w:contextualSpacing/>
        <w:jc w:val="both"/>
        <w:rPr>
          <w:rFonts w:ascii="Tahoma" w:hAnsi="Tahoma" w:cs="Tahoma"/>
          <w:sz w:val="24"/>
          <w:szCs w:val="24"/>
          <w:lang w:val="en-US"/>
        </w:rPr>
      </w:pPr>
      <w:r>
        <w:rPr>
          <w:rFonts w:ascii="Tahoma" w:hAnsi="Tahoma" w:cs="Tahoma"/>
          <w:sz w:val="24"/>
          <w:szCs w:val="24"/>
          <w:lang w:val="en-US"/>
        </w:rPr>
        <w:t>The p</w:t>
      </w:r>
      <w:r w:rsidRPr="00AD0D0A">
        <w:rPr>
          <w:rFonts w:ascii="Tahoma" w:hAnsi="Tahoma" w:cs="Tahoma"/>
          <w:sz w:val="24"/>
          <w:szCs w:val="24"/>
          <w:lang w:val="en-US"/>
        </w:rPr>
        <w:t>rocess remains unchanged, as indicated in the Electronic Communications (EC) Bill; and</w:t>
      </w:r>
    </w:p>
    <w:p w14:paraId="4AA92474" w14:textId="77777777" w:rsidR="00352AE5" w:rsidRPr="00AD0D0A" w:rsidRDefault="00352AE5" w:rsidP="00352AE5">
      <w:pPr>
        <w:numPr>
          <w:ilvl w:val="0"/>
          <w:numId w:val="2"/>
        </w:numPr>
        <w:spacing w:after="0" w:line="360" w:lineRule="auto"/>
        <w:contextualSpacing/>
        <w:jc w:val="both"/>
        <w:rPr>
          <w:rFonts w:ascii="Tahoma" w:hAnsi="Tahoma" w:cs="Tahoma"/>
          <w:sz w:val="24"/>
          <w:szCs w:val="24"/>
          <w:lang w:val="en-US"/>
        </w:rPr>
      </w:pPr>
      <w:r>
        <w:rPr>
          <w:rFonts w:ascii="Tahoma" w:hAnsi="Tahoma" w:cs="Tahoma"/>
          <w:sz w:val="24"/>
          <w:szCs w:val="24"/>
          <w:lang w:val="en-US"/>
        </w:rPr>
        <w:t>T</w:t>
      </w:r>
      <w:r w:rsidRPr="00AD0D0A">
        <w:rPr>
          <w:rFonts w:ascii="Tahoma" w:hAnsi="Tahoma" w:cs="Tahoma"/>
          <w:sz w:val="24"/>
          <w:szCs w:val="24"/>
          <w:lang w:val="en-US"/>
        </w:rPr>
        <w:t>he renewal process will be reviewed, as ECTEL wishes to consider all concerns to make the process more seamless in the future;</w:t>
      </w:r>
    </w:p>
    <w:p w14:paraId="55E85945" w14:textId="77777777" w:rsidR="00352AE5" w:rsidRPr="00AD0D0A" w:rsidRDefault="00352AE5" w:rsidP="00352AE5">
      <w:pPr>
        <w:numPr>
          <w:ilvl w:val="0"/>
          <w:numId w:val="3"/>
        </w:numPr>
        <w:spacing w:after="0" w:line="360" w:lineRule="auto"/>
        <w:contextualSpacing/>
        <w:jc w:val="both"/>
        <w:rPr>
          <w:rFonts w:ascii="Tahoma" w:hAnsi="Tahoma" w:cs="Tahoma"/>
          <w:b/>
          <w:bCs/>
          <w:sz w:val="24"/>
          <w:szCs w:val="24"/>
          <w:lang w:val="en-US"/>
        </w:rPr>
      </w:pPr>
      <w:r w:rsidRPr="00AD0D0A">
        <w:rPr>
          <w:rFonts w:ascii="Tahoma" w:hAnsi="Tahoma" w:cs="Tahoma"/>
          <w:b/>
          <w:bCs/>
          <w:sz w:val="24"/>
          <w:szCs w:val="24"/>
          <w:lang w:val="en-US"/>
        </w:rPr>
        <w:t>Transitional Provision</w:t>
      </w:r>
    </w:p>
    <w:p w14:paraId="4DB591D2" w14:textId="05BC7E6C" w:rsidR="00352AE5" w:rsidRPr="00AD0D0A" w:rsidRDefault="00025CBB" w:rsidP="00352AE5">
      <w:pPr>
        <w:numPr>
          <w:ilvl w:val="0"/>
          <w:numId w:val="2"/>
        </w:numPr>
        <w:spacing w:after="0" w:line="360" w:lineRule="auto"/>
        <w:contextualSpacing/>
        <w:jc w:val="both"/>
        <w:rPr>
          <w:rFonts w:ascii="Tahoma" w:hAnsi="Tahoma" w:cs="Tahoma"/>
          <w:sz w:val="24"/>
          <w:szCs w:val="24"/>
          <w:lang w:val="en-US"/>
        </w:rPr>
      </w:pPr>
      <w:r>
        <w:rPr>
          <w:rFonts w:ascii="Tahoma" w:hAnsi="Tahoma" w:cs="Tahoma"/>
          <w:sz w:val="24"/>
          <w:szCs w:val="24"/>
          <w:lang w:val="en-US"/>
        </w:rPr>
        <w:t xml:space="preserve">The </w:t>
      </w:r>
      <w:r w:rsidR="00352AE5" w:rsidRPr="00AD0D0A">
        <w:rPr>
          <w:rFonts w:ascii="Tahoma" w:hAnsi="Tahoma" w:cs="Tahoma"/>
          <w:sz w:val="24"/>
          <w:szCs w:val="24"/>
          <w:lang w:val="en-US"/>
        </w:rPr>
        <w:t>ECTEL</w:t>
      </w:r>
      <w:r>
        <w:rPr>
          <w:rFonts w:ascii="Tahoma" w:hAnsi="Tahoma" w:cs="Tahoma"/>
          <w:sz w:val="24"/>
          <w:szCs w:val="24"/>
          <w:lang w:val="en-US"/>
        </w:rPr>
        <w:t xml:space="preserve"> Directorate has considered all comments and </w:t>
      </w:r>
      <w:r w:rsidR="00352AE5" w:rsidRPr="00AD0D0A">
        <w:rPr>
          <w:rFonts w:ascii="Tahoma" w:hAnsi="Tahoma" w:cs="Tahoma"/>
          <w:sz w:val="24"/>
          <w:szCs w:val="24"/>
          <w:lang w:val="en-US"/>
        </w:rPr>
        <w:t>submission</w:t>
      </w:r>
      <w:r w:rsidR="00352AE5">
        <w:rPr>
          <w:rFonts w:ascii="Tahoma" w:hAnsi="Tahoma" w:cs="Tahoma"/>
          <w:sz w:val="24"/>
          <w:szCs w:val="24"/>
          <w:lang w:val="en-US"/>
        </w:rPr>
        <w:t>s</w:t>
      </w:r>
      <w:r w:rsidR="00352AE5" w:rsidRPr="00AD0D0A">
        <w:rPr>
          <w:rFonts w:ascii="Tahoma" w:hAnsi="Tahoma" w:cs="Tahoma"/>
          <w:sz w:val="24"/>
          <w:szCs w:val="24"/>
          <w:lang w:val="en-US"/>
        </w:rPr>
        <w:t xml:space="preserve"> </w:t>
      </w:r>
      <w:r>
        <w:rPr>
          <w:rFonts w:ascii="Tahoma" w:hAnsi="Tahoma" w:cs="Tahoma"/>
          <w:sz w:val="24"/>
          <w:szCs w:val="24"/>
          <w:lang w:val="en-US"/>
        </w:rPr>
        <w:t xml:space="preserve">received, </w:t>
      </w:r>
      <w:r w:rsidR="00352AE5" w:rsidRPr="00AD0D0A">
        <w:rPr>
          <w:rFonts w:ascii="Tahoma" w:hAnsi="Tahoma" w:cs="Tahoma"/>
          <w:sz w:val="24"/>
          <w:szCs w:val="24"/>
          <w:lang w:val="en-US"/>
        </w:rPr>
        <w:t>and therefore the transitional provision has been amended and will now read:</w:t>
      </w:r>
    </w:p>
    <w:p w14:paraId="49A7F264" w14:textId="77777777" w:rsidR="00352AE5" w:rsidRPr="00AD0D0A" w:rsidRDefault="00352AE5" w:rsidP="00352AE5">
      <w:pPr>
        <w:keepNext/>
        <w:spacing w:before="240" w:after="60" w:line="240" w:lineRule="auto"/>
        <w:ind w:left="743"/>
        <w:jc w:val="both"/>
        <w:outlineLvl w:val="1"/>
        <w:rPr>
          <w:rFonts w:ascii="Arial" w:eastAsia="Times New Roman" w:hAnsi="Arial" w:cs="Times New Roman"/>
          <w:b/>
          <w:bCs/>
          <w:sz w:val="24"/>
          <w:szCs w:val="24"/>
          <w:lang w:val="en-US" w:eastAsia="x-none"/>
        </w:rPr>
      </w:pPr>
      <w:r w:rsidRPr="00AD0D0A">
        <w:rPr>
          <w:rFonts w:ascii="Arial" w:eastAsia="Times New Roman" w:hAnsi="Arial" w:cs="Times New Roman"/>
          <w:sz w:val="24"/>
          <w:szCs w:val="24"/>
          <w:lang w:val="en-US" w:eastAsia="x-none"/>
        </w:rPr>
        <w:t>“</w:t>
      </w:r>
      <w:r w:rsidRPr="00AD0D0A">
        <w:rPr>
          <w:rFonts w:ascii="Arial" w:eastAsia="Times New Roman" w:hAnsi="Arial" w:cs="Times New Roman"/>
          <w:b/>
          <w:bCs/>
          <w:sz w:val="24"/>
          <w:szCs w:val="24"/>
          <w:lang w:val="en-US" w:eastAsia="x-none"/>
        </w:rPr>
        <w:t xml:space="preserve">157.      TRANSITIONAL </w:t>
      </w:r>
    </w:p>
    <w:p w14:paraId="4B0ABCA5" w14:textId="77777777" w:rsidR="00352AE5" w:rsidRPr="00AD0D0A" w:rsidRDefault="00352AE5" w:rsidP="00352AE5">
      <w:pPr>
        <w:tabs>
          <w:tab w:val="left" w:pos="1440"/>
        </w:tabs>
        <w:spacing w:after="0" w:line="240" w:lineRule="auto"/>
        <w:ind w:left="1440" w:hanging="720"/>
        <w:jc w:val="both"/>
        <w:rPr>
          <w:rFonts w:ascii="Times New Roman" w:eastAsia="MS Mincho" w:hAnsi="Times New Roman" w:cs="Arial"/>
          <w:b/>
          <w:sz w:val="24"/>
          <w:szCs w:val="20"/>
          <w:lang w:val="en-US"/>
        </w:rPr>
      </w:pPr>
    </w:p>
    <w:p w14:paraId="75F3E95E" w14:textId="77777777" w:rsidR="00352AE5" w:rsidRPr="00AD0D0A" w:rsidRDefault="00352AE5" w:rsidP="00352AE5">
      <w:pPr>
        <w:numPr>
          <w:ilvl w:val="0"/>
          <w:numId w:val="1"/>
        </w:numPr>
        <w:tabs>
          <w:tab w:val="left" w:pos="1440"/>
        </w:tabs>
        <w:spacing w:after="120" w:line="240" w:lineRule="auto"/>
        <w:ind w:left="1440" w:hanging="720"/>
        <w:jc w:val="both"/>
        <w:rPr>
          <w:rFonts w:ascii="Times New Roman" w:eastAsia="MS Mincho" w:hAnsi="Times New Roman" w:cs="Arial"/>
          <w:color w:val="000000" w:themeColor="text1"/>
          <w:sz w:val="24"/>
          <w:szCs w:val="20"/>
          <w:lang w:val="en-US"/>
        </w:rPr>
      </w:pPr>
      <w:r w:rsidRPr="00AD0D0A">
        <w:rPr>
          <w:rFonts w:ascii="Times New Roman" w:eastAsia="MS Mincho" w:hAnsi="Times New Roman" w:cs="Arial"/>
          <w:color w:val="000000" w:themeColor="text1"/>
          <w:sz w:val="24"/>
          <w:szCs w:val="20"/>
          <w:lang w:val="en-US"/>
        </w:rPr>
        <w:t xml:space="preserve">Notwithstanding any other provision in any other law, a person </w:t>
      </w:r>
      <w:proofErr w:type="spellStart"/>
      <w:r w:rsidRPr="00AD0D0A">
        <w:rPr>
          <w:rFonts w:ascii="Times New Roman" w:eastAsia="MS Mincho" w:hAnsi="Times New Roman" w:cs="Arial"/>
          <w:color w:val="000000" w:themeColor="text1"/>
          <w:sz w:val="24"/>
          <w:szCs w:val="20"/>
          <w:lang w:val="en-US"/>
        </w:rPr>
        <w:t>authorised</w:t>
      </w:r>
      <w:proofErr w:type="spellEnd"/>
      <w:r w:rsidRPr="00AD0D0A">
        <w:rPr>
          <w:rFonts w:ascii="Times New Roman" w:eastAsia="MS Mincho" w:hAnsi="Times New Roman" w:cs="Arial"/>
          <w:color w:val="000000" w:themeColor="text1"/>
          <w:sz w:val="24"/>
          <w:szCs w:val="20"/>
          <w:lang w:val="en-US"/>
        </w:rPr>
        <w:t xml:space="preserve"> to operate a telecommunications network, or provide a telecommunications service or use radio frequencies immediately before the date of entry into force of this Act, may continue to operate an electronic communications network, or provide an electronic communications service or use such radio frequencies for a period of two years after the commencement of this Act, as if they have been granted a </w:t>
      </w:r>
      <w:proofErr w:type="spellStart"/>
      <w:r w:rsidRPr="00AD0D0A">
        <w:rPr>
          <w:rFonts w:ascii="Times New Roman" w:eastAsia="MS Mincho" w:hAnsi="Times New Roman" w:cs="Arial"/>
          <w:color w:val="000000" w:themeColor="text1"/>
          <w:sz w:val="24"/>
          <w:szCs w:val="20"/>
          <w:lang w:val="en-US"/>
        </w:rPr>
        <w:t>licence</w:t>
      </w:r>
      <w:proofErr w:type="spellEnd"/>
      <w:r w:rsidRPr="00AD0D0A">
        <w:rPr>
          <w:rFonts w:ascii="Times New Roman" w:eastAsia="MS Mincho" w:hAnsi="Times New Roman" w:cs="Arial"/>
          <w:color w:val="000000" w:themeColor="text1"/>
          <w:sz w:val="24"/>
          <w:szCs w:val="20"/>
          <w:lang w:val="en-US"/>
        </w:rPr>
        <w:t xml:space="preserve"> or frequency </w:t>
      </w:r>
      <w:proofErr w:type="spellStart"/>
      <w:r w:rsidRPr="00AD0D0A">
        <w:rPr>
          <w:rFonts w:ascii="Times New Roman" w:eastAsia="MS Mincho" w:hAnsi="Times New Roman" w:cs="Arial"/>
          <w:color w:val="000000" w:themeColor="text1"/>
          <w:sz w:val="24"/>
          <w:szCs w:val="20"/>
          <w:lang w:val="en-US"/>
        </w:rPr>
        <w:t>authorisation</w:t>
      </w:r>
      <w:proofErr w:type="spellEnd"/>
      <w:r w:rsidRPr="00AD0D0A">
        <w:rPr>
          <w:rFonts w:ascii="Times New Roman" w:eastAsia="MS Mincho" w:hAnsi="Times New Roman" w:cs="Arial"/>
          <w:color w:val="000000" w:themeColor="text1"/>
          <w:sz w:val="24"/>
          <w:szCs w:val="20"/>
          <w:lang w:val="en-US"/>
        </w:rPr>
        <w:t xml:space="preserve"> under this Act.</w:t>
      </w:r>
    </w:p>
    <w:p w14:paraId="294CBCC7" w14:textId="77777777" w:rsidR="00352AE5" w:rsidRPr="00AD0D0A" w:rsidRDefault="00352AE5" w:rsidP="00352AE5">
      <w:pPr>
        <w:numPr>
          <w:ilvl w:val="0"/>
          <w:numId w:val="1"/>
        </w:numPr>
        <w:tabs>
          <w:tab w:val="left" w:pos="1440"/>
        </w:tabs>
        <w:spacing w:after="120" w:line="240" w:lineRule="auto"/>
        <w:ind w:left="1440" w:hanging="720"/>
        <w:jc w:val="both"/>
        <w:rPr>
          <w:rFonts w:ascii="Times New Roman" w:eastAsia="MS Mincho" w:hAnsi="Times New Roman" w:cs="Arial"/>
          <w:color w:val="000000" w:themeColor="text1"/>
          <w:sz w:val="24"/>
          <w:szCs w:val="20"/>
          <w:lang w:val="en-US"/>
        </w:rPr>
      </w:pPr>
      <w:r w:rsidRPr="00AD0D0A">
        <w:rPr>
          <w:rFonts w:ascii="Times New Roman" w:eastAsia="MS Mincho" w:hAnsi="Times New Roman" w:cs="Arial"/>
          <w:color w:val="000000" w:themeColor="text1"/>
          <w:sz w:val="24"/>
          <w:szCs w:val="20"/>
          <w:lang w:val="en-US"/>
        </w:rPr>
        <w:lastRenderedPageBreak/>
        <w:t xml:space="preserve">Within two years of commencement of this Act, the Minister shall, acting on the recommendation of ECTEL, issue a </w:t>
      </w:r>
      <w:proofErr w:type="spellStart"/>
      <w:r w:rsidRPr="00AD0D0A">
        <w:rPr>
          <w:rFonts w:ascii="Times New Roman" w:eastAsia="MS Mincho" w:hAnsi="Times New Roman" w:cs="Arial"/>
          <w:color w:val="000000" w:themeColor="text1"/>
          <w:sz w:val="24"/>
          <w:szCs w:val="20"/>
          <w:lang w:val="en-US"/>
        </w:rPr>
        <w:t>licence</w:t>
      </w:r>
      <w:proofErr w:type="spellEnd"/>
      <w:r w:rsidRPr="00AD0D0A">
        <w:rPr>
          <w:rFonts w:ascii="Times New Roman" w:eastAsia="MS Mincho" w:hAnsi="Times New Roman" w:cs="Arial"/>
          <w:color w:val="000000" w:themeColor="text1"/>
          <w:sz w:val="24"/>
          <w:szCs w:val="20"/>
          <w:lang w:val="en-US"/>
        </w:rPr>
        <w:t xml:space="preserve"> subject to subsection (3) to a person under subsection (1) who makes a request within 12 months of commencement of this Act to be licensed. </w:t>
      </w:r>
    </w:p>
    <w:p w14:paraId="7FF2DB0E" w14:textId="77777777" w:rsidR="00352AE5" w:rsidRPr="00AD0D0A" w:rsidRDefault="00352AE5" w:rsidP="00352AE5">
      <w:pPr>
        <w:numPr>
          <w:ilvl w:val="0"/>
          <w:numId w:val="1"/>
        </w:numPr>
        <w:tabs>
          <w:tab w:val="left" w:pos="1440"/>
        </w:tabs>
        <w:spacing w:after="120" w:line="240" w:lineRule="auto"/>
        <w:ind w:left="1440" w:hanging="720"/>
        <w:jc w:val="both"/>
        <w:rPr>
          <w:rFonts w:ascii="Times New Roman" w:eastAsia="MS Mincho" w:hAnsi="Times New Roman" w:cs="Arial"/>
          <w:color w:val="000000" w:themeColor="text1"/>
          <w:sz w:val="24"/>
          <w:szCs w:val="20"/>
          <w:lang w:val="en-US"/>
        </w:rPr>
      </w:pPr>
      <w:r w:rsidRPr="00AD0D0A">
        <w:rPr>
          <w:rFonts w:ascii="Times New Roman" w:eastAsia="MS Mincho" w:hAnsi="Times New Roman" w:cs="Arial"/>
          <w:color w:val="000000" w:themeColor="text1"/>
          <w:sz w:val="24"/>
          <w:szCs w:val="20"/>
          <w:lang w:val="en-US"/>
        </w:rPr>
        <w:t xml:space="preserve">A </w:t>
      </w:r>
      <w:proofErr w:type="spellStart"/>
      <w:r w:rsidRPr="00AD0D0A">
        <w:rPr>
          <w:rFonts w:ascii="Times New Roman" w:eastAsia="MS Mincho" w:hAnsi="Times New Roman" w:cs="Arial"/>
          <w:color w:val="000000" w:themeColor="text1"/>
          <w:sz w:val="24"/>
          <w:szCs w:val="20"/>
          <w:lang w:val="en-US"/>
        </w:rPr>
        <w:t>licence</w:t>
      </w:r>
      <w:proofErr w:type="spellEnd"/>
      <w:r w:rsidRPr="00AD0D0A">
        <w:rPr>
          <w:rFonts w:ascii="Times New Roman" w:eastAsia="MS Mincho" w:hAnsi="Times New Roman" w:cs="Arial"/>
          <w:color w:val="000000" w:themeColor="text1"/>
          <w:sz w:val="24"/>
          <w:szCs w:val="20"/>
          <w:lang w:val="en-US"/>
        </w:rPr>
        <w:t xml:space="preserve"> issued for the purposes of subsection (2) shall be subject to new terms and conditions in accordance with this Act and Regulations made under this Act.”</w:t>
      </w:r>
    </w:p>
    <w:p w14:paraId="22CAB434" w14:textId="77777777" w:rsidR="00352AE5" w:rsidRPr="00AD0D0A" w:rsidRDefault="00352AE5" w:rsidP="00352AE5">
      <w:pPr>
        <w:spacing w:after="0" w:line="360" w:lineRule="auto"/>
        <w:rPr>
          <w:rFonts w:ascii="Tahoma" w:hAnsi="Tahoma" w:cs="Tahoma"/>
          <w:sz w:val="24"/>
          <w:szCs w:val="24"/>
          <w:lang w:val="en-US"/>
        </w:rPr>
      </w:pPr>
    </w:p>
    <w:p w14:paraId="556FFC24" w14:textId="77777777" w:rsidR="00352AE5" w:rsidRPr="00AD0D0A" w:rsidRDefault="00352AE5" w:rsidP="00352AE5">
      <w:pPr>
        <w:spacing w:after="0" w:line="360" w:lineRule="auto"/>
        <w:jc w:val="both"/>
        <w:rPr>
          <w:rFonts w:ascii="Tahoma" w:hAnsi="Tahoma" w:cs="Tahoma"/>
          <w:sz w:val="24"/>
          <w:szCs w:val="24"/>
          <w:lang w:val="en-US"/>
        </w:rPr>
      </w:pPr>
      <w:r w:rsidRPr="00AD0D0A">
        <w:rPr>
          <w:rFonts w:ascii="Tahoma" w:hAnsi="Tahoma" w:cs="Tahoma"/>
          <w:sz w:val="24"/>
          <w:szCs w:val="24"/>
          <w:lang w:val="en-US"/>
        </w:rPr>
        <w:t>ECTEL is pleased to inform that the final EC Bill has been approved and been submitted to the ECTEL Contracting States for promulgation. ECTEL understands that some Contracting States are planning to promulgate the EC Bill in the coming months, as it has been placed on their respective Parliamentary Schedules as priority.</w:t>
      </w:r>
    </w:p>
    <w:p w14:paraId="4428D555" w14:textId="77777777" w:rsidR="00352AE5" w:rsidRPr="00AD0D0A" w:rsidRDefault="00352AE5" w:rsidP="00352AE5">
      <w:pPr>
        <w:spacing w:after="0" w:line="360" w:lineRule="auto"/>
        <w:jc w:val="both"/>
        <w:rPr>
          <w:rFonts w:ascii="Tahoma" w:hAnsi="Tahoma" w:cs="Tahoma"/>
          <w:sz w:val="24"/>
          <w:szCs w:val="24"/>
          <w:lang w:val="en-US"/>
        </w:rPr>
      </w:pPr>
    </w:p>
    <w:p w14:paraId="6D8CF910" w14:textId="77777777" w:rsidR="00352AE5" w:rsidRPr="00AD0D0A" w:rsidRDefault="00352AE5" w:rsidP="00352AE5">
      <w:pPr>
        <w:spacing w:after="0" w:line="360" w:lineRule="auto"/>
        <w:jc w:val="both"/>
        <w:rPr>
          <w:rFonts w:ascii="Tahoma" w:hAnsi="Tahoma" w:cs="Tahoma"/>
          <w:sz w:val="24"/>
          <w:szCs w:val="24"/>
          <w:lang w:val="en-US"/>
        </w:rPr>
      </w:pPr>
      <w:r w:rsidRPr="00AD0D0A">
        <w:rPr>
          <w:rFonts w:ascii="Tahoma" w:hAnsi="Tahoma" w:cs="Tahoma"/>
          <w:sz w:val="24"/>
          <w:szCs w:val="24"/>
          <w:lang w:val="en-US"/>
        </w:rPr>
        <w:t xml:space="preserve">ECTEL informs that, consequently, once the EC Bill has been promulgated and in force in those Contracting States, new </w:t>
      </w:r>
      <w:proofErr w:type="spellStart"/>
      <w:r w:rsidRPr="00AD0D0A">
        <w:rPr>
          <w:rFonts w:ascii="Tahoma" w:hAnsi="Tahoma" w:cs="Tahoma"/>
          <w:sz w:val="24"/>
          <w:szCs w:val="24"/>
          <w:lang w:val="en-US"/>
        </w:rPr>
        <w:t>licences</w:t>
      </w:r>
      <w:proofErr w:type="spellEnd"/>
      <w:r w:rsidRPr="00AD0D0A">
        <w:rPr>
          <w:rFonts w:ascii="Tahoma" w:hAnsi="Tahoma" w:cs="Tahoma"/>
          <w:sz w:val="24"/>
          <w:szCs w:val="24"/>
          <w:lang w:val="en-US"/>
        </w:rPr>
        <w:t xml:space="preserve"> will be issued under the Electronic Communications Act. However, should there be a delay for promulgation of the EC Bill in the other Contracting States</w:t>
      </w:r>
      <w:r>
        <w:rPr>
          <w:rFonts w:ascii="Tahoma" w:hAnsi="Tahoma" w:cs="Tahoma"/>
          <w:sz w:val="24"/>
          <w:szCs w:val="24"/>
          <w:lang w:val="en-US"/>
        </w:rPr>
        <w:t xml:space="preserve"> </w:t>
      </w:r>
      <w:r w:rsidRPr="00AD0D0A">
        <w:rPr>
          <w:rFonts w:ascii="Tahoma" w:hAnsi="Tahoma" w:cs="Tahoma"/>
          <w:sz w:val="24"/>
          <w:szCs w:val="24"/>
          <w:lang w:val="en-US"/>
        </w:rPr>
        <w:t xml:space="preserve">beyond </w:t>
      </w:r>
      <w:r w:rsidRPr="00AD0D0A">
        <w:rPr>
          <w:rFonts w:ascii="Tahoma" w:hAnsi="Tahoma" w:cs="Tahoma"/>
          <w:b/>
          <w:bCs/>
          <w:sz w:val="24"/>
          <w:szCs w:val="24"/>
          <w:lang w:val="en-US"/>
        </w:rPr>
        <w:t>March 2020</w:t>
      </w:r>
      <w:r w:rsidRPr="00AD0D0A">
        <w:rPr>
          <w:rFonts w:ascii="Tahoma" w:hAnsi="Tahoma" w:cs="Tahoma"/>
          <w:sz w:val="24"/>
          <w:szCs w:val="24"/>
          <w:lang w:val="en-US"/>
        </w:rPr>
        <w:t xml:space="preserve">, ECTEL will recommend that Individual </w:t>
      </w:r>
      <w:proofErr w:type="spellStart"/>
      <w:r w:rsidRPr="00AD0D0A">
        <w:rPr>
          <w:rFonts w:ascii="Tahoma" w:hAnsi="Tahoma" w:cs="Tahoma"/>
          <w:sz w:val="24"/>
          <w:szCs w:val="24"/>
          <w:lang w:val="en-US"/>
        </w:rPr>
        <w:t>Licences</w:t>
      </w:r>
      <w:proofErr w:type="spellEnd"/>
      <w:r w:rsidRPr="00AD0D0A">
        <w:rPr>
          <w:rFonts w:ascii="Tahoma" w:hAnsi="Tahoma" w:cs="Tahoma"/>
          <w:sz w:val="24"/>
          <w:szCs w:val="24"/>
          <w:lang w:val="en-US"/>
        </w:rPr>
        <w:t xml:space="preserve"> and Frequency </w:t>
      </w:r>
      <w:proofErr w:type="spellStart"/>
      <w:r w:rsidRPr="00AD0D0A">
        <w:rPr>
          <w:rFonts w:ascii="Tahoma" w:hAnsi="Tahoma" w:cs="Tahoma"/>
          <w:sz w:val="24"/>
          <w:szCs w:val="24"/>
          <w:lang w:val="en-US"/>
        </w:rPr>
        <w:t>Authorisations</w:t>
      </w:r>
      <w:proofErr w:type="spellEnd"/>
      <w:r w:rsidRPr="00AD0D0A">
        <w:rPr>
          <w:rFonts w:ascii="Tahoma" w:hAnsi="Tahoma" w:cs="Tahoma"/>
          <w:sz w:val="24"/>
          <w:szCs w:val="24"/>
          <w:lang w:val="en-US"/>
        </w:rPr>
        <w:t xml:space="preserve"> be issued under the Telecommunications Act.</w:t>
      </w:r>
    </w:p>
    <w:p w14:paraId="543BDD30" w14:textId="77777777" w:rsidR="00352AE5" w:rsidRPr="00AD0D0A" w:rsidRDefault="00352AE5" w:rsidP="00352AE5">
      <w:pPr>
        <w:spacing w:after="0" w:line="360" w:lineRule="auto"/>
        <w:jc w:val="both"/>
        <w:rPr>
          <w:rFonts w:ascii="Tahoma" w:hAnsi="Tahoma" w:cs="Tahoma"/>
          <w:sz w:val="24"/>
          <w:szCs w:val="24"/>
          <w:lang w:val="en-US"/>
        </w:rPr>
      </w:pPr>
    </w:p>
    <w:p w14:paraId="17A15661" w14:textId="77777777" w:rsidR="00352AE5" w:rsidRPr="00AD0D0A" w:rsidRDefault="00352AE5" w:rsidP="00352AE5">
      <w:pPr>
        <w:spacing w:after="0" w:line="360" w:lineRule="auto"/>
        <w:jc w:val="both"/>
        <w:rPr>
          <w:rFonts w:ascii="Tahoma" w:hAnsi="Tahoma" w:cs="Tahoma"/>
          <w:sz w:val="24"/>
          <w:szCs w:val="24"/>
          <w:lang w:val="en-US"/>
        </w:rPr>
      </w:pPr>
      <w:r w:rsidRPr="00AD0D0A">
        <w:rPr>
          <w:rFonts w:ascii="Tahoma" w:hAnsi="Tahoma" w:cs="Tahoma"/>
          <w:sz w:val="24"/>
          <w:szCs w:val="24"/>
          <w:lang w:val="en-US"/>
        </w:rPr>
        <w:t>During this transitionary period, ECTEL will provide further updates to all service providers and other stakeholders on the development of the legislative reform under EC framework.</w:t>
      </w:r>
    </w:p>
    <w:p w14:paraId="422CBB74" w14:textId="77777777" w:rsidR="00EE15E0" w:rsidRDefault="00EE15E0"/>
    <w:sectPr w:rsidR="00EE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3319"/>
    <w:multiLevelType w:val="hybridMultilevel"/>
    <w:tmpl w:val="193C81EC"/>
    <w:lvl w:ilvl="0" w:tplc="C166E018">
      <w:start w:val="1"/>
      <w:numFmt w:val="decimal"/>
      <w:lvlText w:val="(%1)"/>
      <w:lvlJc w:val="left"/>
      <w:pPr>
        <w:tabs>
          <w:tab w:val="num" w:pos="720"/>
        </w:tabs>
        <w:ind w:left="720" w:hanging="360"/>
      </w:pPr>
    </w:lvl>
    <w:lvl w:ilvl="1" w:tplc="BE566C5E" w:tentative="1">
      <w:start w:val="1"/>
      <w:numFmt w:val="decimal"/>
      <w:lvlText w:val="(%2)"/>
      <w:lvlJc w:val="left"/>
      <w:pPr>
        <w:tabs>
          <w:tab w:val="num" w:pos="1440"/>
        </w:tabs>
        <w:ind w:left="1440" w:hanging="360"/>
      </w:pPr>
    </w:lvl>
    <w:lvl w:ilvl="2" w:tplc="EF8A1368" w:tentative="1">
      <w:start w:val="1"/>
      <w:numFmt w:val="decimal"/>
      <w:lvlText w:val="(%3)"/>
      <w:lvlJc w:val="left"/>
      <w:pPr>
        <w:tabs>
          <w:tab w:val="num" w:pos="2160"/>
        </w:tabs>
        <w:ind w:left="2160" w:hanging="360"/>
      </w:pPr>
    </w:lvl>
    <w:lvl w:ilvl="3" w:tplc="C862E110" w:tentative="1">
      <w:start w:val="1"/>
      <w:numFmt w:val="decimal"/>
      <w:lvlText w:val="(%4)"/>
      <w:lvlJc w:val="left"/>
      <w:pPr>
        <w:tabs>
          <w:tab w:val="num" w:pos="2880"/>
        </w:tabs>
        <w:ind w:left="2880" w:hanging="360"/>
      </w:pPr>
    </w:lvl>
    <w:lvl w:ilvl="4" w:tplc="CFB4AB08" w:tentative="1">
      <w:start w:val="1"/>
      <w:numFmt w:val="decimal"/>
      <w:lvlText w:val="(%5)"/>
      <w:lvlJc w:val="left"/>
      <w:pPr>
        <w:tabs>
          <w:tab w:val="num" w:pos="3600"/>
        </w:tabs>
        <w:ind w:left="3600" w:hanging="360"/>
      </w:pPr>
    </w:lvl>
    <w:lvl w:ilvl="5" w:tplc="BF6E8818" w:tentative="1">
      <w:start w:val="1"/>
      <w:numFmt w:val="decimal"/>
      <w:lvlText w:val="(%6)"/>
      <w:lvlJc w:val="left"/>
      <w:pPr>
        <w:tabs>
          <w:tab w:val="num" w:pos="4320"/>
        </w:tabs>
        <w:ind w:left="4320" w:hanging="360"/>
      </w:pPr>
    </w:lvl>
    <w:lvl w:ilvl="6" w:tplc="A53C8A76" w:tentative="1">
      <w:start w:val="1"/>
      <w:numFmt w:val="decimal"/>
      <w:lvlText w:val="(%7)"/>
      <w:lvlJc w:val="left"/>
      <w:pPr>
        <w:tabs>
          <w:tab w:val="num" w:pos="5040"/>
        </w:tabs>
        <w:ind w:left="5040" w:hanging="360"/>
      </w:pPr>
    </w:lvl>
    <w:lvl w:ilvl="7" w:tplc="63E4AB0A" w:tentative="1">
      <w:start w:val="1"/>
      <w:numFmt w:val="decimal"/>
      <w:lvlText w:val="(%8)"/>
      <w:lvlJc w:val="left"/>
      <w:pPr>
        <w:tabs>
          <w:tab w:val="num" w:pos="5760"/>
        </w:tabs>
        <w:ind w:left="5760" w:hanging="360"/>
      </w:pPr>
    </w:lvl>
    <w:lvl w:ilvl="8" w:tplc="183E486E" w:tentative="1">
      <w:start w:val="1"/>
      <w:numFmt w:val="decimal"/>
      <w:lvlText w:val="(%9)"/>
      <w:lvlJc w:val="left"/>
      <w:pPr>
        <w:tabs>
          <w:tab w:val="num" w:pos="6480"/>
        </w:tabs>
        <w:ind w:left="6480" w:hanging="360"/>
      </w:pPr>
    </w:lvl>
  </w:abstractNum>
  <w:abstractNum w:abstractNumId="1" w15:restartNumberingAfterBreak="0">
    <w:nsid w:val="680E2B86"/>
    <w:multiLevelType w:val="hybridMultilevel"/>
    <w:tmpl w:val="879856E0"/>
    <w:lvl w:ilvl="0" w:tplc="0EA423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DCA21F2"/>
    <w:multiLevelType w:val="hybridMultilevel"/>
    <w:tmpl w:val="68C0EB00"/>
    <w:lvl w:ilvl="0" w:tplc="1C6E2428">
      <w:start w:val="15"/>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E5"/>
    <w:rsid w:val="00025CBB"/>
    <w:rsid w:val="00352AE5"/>
    <w:rsid w:val="00485D66"/>
    <w:rsid w:val="005E4046"/>
    <w:rsid w:val="00EE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F5"/>
  <w15:chartTrackingRefBased/>
  <w15:docId w15:val="{5DC22DAF-B010-4D69-89B8-ECFFDFB9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Genaline Bruce</dc:creator>
  <cp:keywords/>
  <dc:description/>
  <cp:lastModifiedBy>Rochelle Brathwaite</cp:lastModifiedBy>
  <cp:revision>2</cp:revision>
  <dcterms:created xsi:type="dcterms:W3CDTF">2019-11-29T20:38:00Z</dcterms:created>
  <dcterms:modified xsi:type="dcterms:W3CDTF">2019-11-29T20:38:00Z</dcterms:modified>
</cp:coreProperties>
</file>